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16004" w14:textId="7A08B665" w:rsidR="00553643" w:rsidRDefault="00553643" w:rsidP="00BA0F2F"/>
    <w:p w14:paraId="3B4A3CEC" w14:textId="77777777" w:rsidR="008552DF" w:rsidRDefault="008552DF" w:rsidP="00BA0F2F"/>
    <w:p w14:paraId="52F2BEF4" w14:textId="79896642" w:rsidR="008334D4" w:rsidRDefault="00CC6D91" w:rsidP="008552DF">
      <w:pPr>
        <w:jc w:val="center"/>
        <w:rPr>
          <w:b/>
          <w:bCs/>
          <w:sz w:val="32"/>
          <w:szCs w:val="32"/>
          <w:u w:val="single"/>
        </w:rPr>
      </w:pPr>
      <w:r w:rsidRPr="00CD44F1">
        <w:rPr>
          <w:b/>
          <w:bCs/>
          <w:sz w:val="32"/>
          <w:szCs w:val="32"/>
          <w:u w:val="single"/>
        </w:rPr>
        <w:t>LES DÉPENSES ÉLIGIBLES</w:t>
      </w:r>
    </w:p>
    <w:p w14:paraId="3C4D3C22" w14:textId="77777777" w:rsidR="008552DF" w:rsidRPr="008552DF" w:rsidRDefault="008552DF" w:rsidP="008552DF">
      <w:pPr>
        <w:jc w:val="center"/>
        <w:rPr>
          <w:b/>
          <w:bCs/>
          <w:sz w:val="32"/>
          <w:szCs w:val="32"/>
          <w:u w:val="single"/>
        </w:rPr>
      </w:pPr>
    </w:p>
    <w:p w14:paraId="56518B30" w14:textId="230A2D28" w:rsidR="00553643" w:rsidRPr="00CC6D91" w:rsidRDefault="00B60519" w:rsidP="00553643">
      <w:pPr>
        <w:rPr>
          <w:b/>
          <w:bCs/>
          <w:sz w:val="28"/>
          <w:szCs w:val="28"/>
        </w:rPr>
      </w:pPr>
      <w:r w:rsidRPr="00CC6D91">
        <w:rPr>
          <w:b/>
          <w:bCs/>
          <w:sz w:val="28"/>
          <w:szCs w:val="28"/>
        </w:rPr>
        <w:t>5</w:t>
      </w:r>
      <w:r w:rsidR="00553643" w:rsidRPr="00CC6D91">
        <w:rPr>
          <w:b/>
          <w:bCs/>
          <w:sz w:val="28"/>
          <w:szCs w:val="28"/>
        </w:rPr>
        <w:t xml:space="preserve">. Les frais de personnel </w:t>
      </w:r>
    </w:p>
    <w:p w14:paraId="11559033" w14:textId="72D44075" w:rsidR="00553643" w:rsidRPr="00CC6D91" w:rsidRDefault="00553643" w:rsidP="00553643">
      <w:pPr>
        <w:rPr>
          <w:b/>
          <w:bCs/>
          <w:sz w:val="24"/>
          <w:szCs w:val="24"/>
        </w:rPr>
      </w:pPr>
      <w:r w:rsidRPr="00CC6D91">
        <w:rPr>
          <w:b/>
          <w:bCs/>
          <w:sz w:val="24"/>
          <w:szCs w:val="24"/>
        </w:rPr>
        <w:t>5</w:t>
      </w:r>
      <w:r w:rsidR="00CC6D91">
        <w:rPr>
          <w:b/>
          <w:bCs/>
          <w:sz w:val="24"/>
          <w:szCs w:val="24"/>
        </w:rPr>
        <w:t>.</w:t>
      </w:r>
      <w:r w:rsidRPr="00CC6D91">
        <w:rPr>
          <w:b/>
          <w:bCs/>
          <w:sz w:val="24"/>
          <w:szCs w:val="24"/>
        </w:rPr>
        <w:t xml:space="preserve">1. Principes généraux </w:t>
      </w:r>
    </w:p>
    <w:p w14:paraId="1A89AD40" w14:textId="77777777" w:rsidR="00553643" w:rsidRPr="00553643" w:rsidRDefault="00553643" w:rsidP="00553643">
      <w:r w:rsidRPr="00553643">
        <w:t xml:space="preserve">Les frais de personnel sont les coûts supportés par un opérateur pour les personnes employées par sa structure à temps plein ou à temps partiel sur la mise en œuvre du projet sans avoir recours à des prestataires externes de services. </w:t>
      </w:r>
    </w:p>
    <w:p w14:paraId="2EC836FC" w14:textId="77777777" w:rsidR="00553643" w:rsidRPr="00553643" w:rsidRDefault="00553643" w:rsidP="00553643">
      <w:r w:rsidRPr="00553643">
        <w:t xml:space="preserve">On entend également par frais de personnel, les dépenses liées aux facturations des salaires dans une convention, par exemple pour les personnes détachées par une autre structure. </w:t>
      </w:r>
    </w:p>
    <w:p w14:paraId="51F22701" w14:textId="77777777" w:rsidR="00553643" w:rsidRPr="00553643" w:rsidRDefault="00553643" w:rsidP="00553643">
      <w:r w:rsidRPr="00553643">
        <w:t xml:space="preserve">Il est ici interdit d’inclure des frais indirects, par exemple des « per diem » ou autres frais de déplacement et d’hébergement. </w:t>
      </w:r>
    </w:p>
    <w:p w14:paraId="51CF39D0" w14:textId="77777777" w:rsidR="00553643" w:rsidRPr="00553643" w:rsidRDefault="00553643" w:rsidP="00553643">
      <w:r w:rsidRPr="00553643">
        <w:t xml:space="preserve">Les dépenses de frais de personnel se limitent aux dépenses suivantes : paiement des salaires liés aux activités qui ne seraient pas réalisées par l’opérateur si le projet n’était pas mis en œuvre. </w:t>
      </w:r>
    </w:p>
    <w:p w14:paraId="15E9C259" w14:textId="77777777" w:rsidR="00553643" w:rsidRPr="00553643" w:rsidRDefault="00553643" w:rsidP="00553643">
      <w:r w:rsidRPr="00553643">
        <w:rPr>
          <w:b/>
          <w:bCs/>
        </w:rPr>
        <w:t xml:space="preserve">Avertissement </w:t>
      </w:r>
      <w:r w:rsidRPr="00553643">
        <w:t xml:space="preserve">: le </w:t>
      </w:r>
      <w:r w:rsidRPr="00553643">
        <w:rPr>
          <w:b/>
          <w:bCs/>
        </w:rPr>
        <w:t xml:space="preserve">taux d’affectation minimum </w:t>
      </w:r>
      <w:r w:rsidRPr="00553643">
        <w:t xml:space="preserve">d’un salarié au projet ne peut être inférieur à 15 % d’un équivalent temps plein par semestre. </w:t>
      </w:r>
    </w:p>
    <w:p w14:paraId="43D18562" w14:textId="77777777" w:rsidR="00553643" w:rsidRDefault="00553643" w:rsidP="00553643">
      <w:r w:rsidRPr="00553643">
        <w:t xml:space="preserve">Une dérogation au seuil minimum des 15% pourra être acceptée via l’application d’un prorata dans les seuls cas suivants : entrée ou départ de service au cours du semestre, grossesse, maladie (maladie grave et/ou chronique comportant un traitement prolongé), licenciement. </w:t>
      </w:r>
    </w:p>
    <w:p w14:paraId="57F6CB27" w14:textId="77777777" w:rsidR="00B60519" w:rsidRPr="00553643" w:rsidRDefault="00B60519" w:rsidP="00553643"/>
    <w:p w14:paraId="31DC8D1B" w14:textId="4772BBED" w:rsidR="00553643" w:rsidRPr="00CC6D91" w:rsidRDefault="00553643" w:rsidP="00553643">
      <w:pPr>
        <w:rPr>
          <w:b/>
          <w:bCs/>
          <w:sz w:val="24"/>
          <w:szCs w:val="24"/>
        </w:rPr>
      </w:pPr>
      <w:r w:rsidRPr="00CC6D91">
        <w:rPr>
          <w:b/>
          <w:bCs/>
          <w:sz w:val="24"/>
          <w:szCs w:val="24"/>
        </w:rPr>
        <w:t xml:space="preserve">5.2. Les frais de personnel </w:t>
      </w:r>
    </w:p>
    <w:p w14:paraId="751E1AE6" w14:textId="77777777" w:rsidR="00553643" w:rsidRPr="00553643" w:rsidRDefault="00553643" w:rsidP="00553643">
      <w:r w:rsidRPr="00553643">
        <w:rPr>
          <w:b/>
          <w:bCs/>
        </w:rPr>
        <w:t xml:space="preserve">Membres du personnel détachés </w:t>
      </w:r>
    </w:p>
    <w:p w14:paraId="1EFADE72" w14:textId="77777777" w:rsidR="00553643" w:rsidRPr="00553643" w:rsidRDefault="00553643" w:rsidP="00553643">
      <w:r w:rsidRPr="00553643">
        <w:t xml:space="preserve">Le coût salarial du personnel détaché par un tiers pour l'exécution d'activités du projet auprès du bénéficiaire est subsidiable de la même manière que celui du personnel régulier à condition que le coût salarial soit pris en charge par le bénéficiaire lui-même. </w:t>
      </w:r>
    </w:p>
    <w:p w14:paraId="19347CAE" w14:textId="77777777" w:rsidR="00553643" w:rsidRPr="00553643" w:rsidRDefault="00553643" w:rsidP="00553643">
      <w:r w:rsidRPr="00553643">
        <w:t xml:space="preserve">Preuve à apporter : le contrat de détachement. </w:t>
      </w:r>
    </w:p>
    <w:p w14:paraId="0D9FDAB5" w14:textId="77777777" w:rsidR="00553643" w:rsidRPr="00553643" w:rsidRDefault="00553643" w:rsidP="00553643">
      <w:r w:rsidRPr="00553643">
        <w:t xml:space="preserve">Avertissement : Le détachement ne peut en aucun cas être utilisé par les pouvoirs adjudicateurs pour contourner la loi sur les marchés publics. </w:t>
      </w:r>
    </w:p>
    <w:p w14:paraId="48960DC5" w14:textId="77777777" w:rsidR="00553643" w:rsidRPr="00553643" w:rsidRDefault="00553643" w:rsidP="00553643">
      <w:r w:rsidRPr="00553643">
        <w:rPr>
          <w:b/>
          <w:bCs/>
        </w:rPr>
        <w:t xml:space="preserve">Personnel de la fonction publique </w:t>
      </w:r>
    </w:p>
    <w:p w14:paraId="271FBF5F" w14:textId="26FEA04A" w:rsidR="00CC6D91" w:rsidRPr="00553643" w:rsidRDefault="00553643" w:rsidP="00553643">
      <w:r w:rsidRPr="00553643">
        <w:t xml:space="preserve">Les dépenses des services publics sont subsidiables lorsque la fonction publique est le promoteur d’un projet spécifique qui est additionnel à la politique régulière. Dans ce cadre, les coûts salariaux du personnel de la fonction publique peuvent être subsidiés, qu’il s’agisse de membres du personnel contractuels ou statutaires nouveaux et/ou existants. </w:t>
      </w:r>
    </w:p>
    <w:p w14:paraId="44576536" w14:textId="77777777" w:rsidR="008552DF" w:rsidRDefault="008552DF" w:rsidP="00553643">
      <w:pPr>
        <w:rPr>
          <w:b/>
          <w:bCs/>
        </w:rPr>
      </w:pPr>
    </w:p>
    <w:p w14:paraId="167B7682" w14:textId="77777777" w:rsidR="008552DF" w:rsidRDefault="008552DF" w:rsidP="00553643">
      <w:pPr>
        <w:rPr>
          <w:b/>
          <w:bCs/>
        </w:rPr>
      </w:pPr>
    </w:p>
    <w:p w14:paraId="3EDB5EBC" w14:textId="67D2A11B" w:rsidR="00553643" w:rsidRPr="00553643" w:rsidRDefault="00553643" w:rsidP="00553643">
      <w:r w:rsidRPr="00553643">
        <w:rPr>
          <w:b/>
          <w:bCs/>
        </w:rPr>
        <w:t xml:space="preserve">Travail intérimaire </w:t>
      </w:r>
    </w:p>
    <w:p w14:paraId="00CE24DF" w14:textId="77777777" w:rsidR="00553643" w:rsidRDefault="00553643" w:rsidP="00BA0F2F">
      <w:r w:rsidRPr="00553643">
        <w:t xml:space="preserve">Le travail intérimaire n’est pas subsidiable à titre de frais de personnel, mais doit être rapporté dans la catégorie « Frais liés au recours à des compétences et à des services externes », et justifié par le biais d’une facturation. </w:t>
      </w:r>
    </w:p>
    <w:p w14:paraId="727EB034" w14:textId="1BEED420" w:rsidR="00D91937" w:rsidRPr="00BA0F2F" w:rsidRDefault="00D91937" w:rsidP="00BA0F2F"/>
    <w:p w14:paraId="013A9F00" w14:textId="77777777" w:rsidR="00BA0F2F" w:rsidRPr="00BA0F2F" w:rsidRDefault="00BA0F2F" w:rsidP="00BA0F2F">
      <w:r w:rsidRPr="00BA0F2F">
        <w:rPr>
          <w:b/>
          <w:bCs/>
        </w:rPr>
        <w:t xml:space="preserve">Calcul des frais de personnel versant wallon </w:t>
      </w:r>
    </w:p>
    <w:p w14:paraId="40F269E3" w14:textId="77777777" w:rsidR="00BA0F2F" w:rsidRPr="00BA0F2F" w:rsidRDefault="00BA0F2F" w:rsidP="00BA0F2F">
      <w:pPr>
        <w:rPr>
          <w:color w:val="FF0000"/>
        </w:rPr>
      </w:pPr>
      <w:r w:rsidRPr="00BA0F2F">
        <w:rPr>
          <w:b/>
          <w:bCs/>
          <w:color w:val="FF0000"/>
        </w:rPr>
        <w:t xml:space="preserve">À partir du 1er juillet 2017, une autre méthode de calcul des frais de personnel doit être appliquée, à savoir : </w:t>
      </w:r>
    </w:p>
    <w:p w14:paraId="2ED50DB9" w14:textId="77777777" w:rsidR="00BA0F2F" w:rsidRPr="00BA0F2F" w:rsidRDefault="00BA0F2F" w:rsidP="00BA0F2F">
      <w:r w:rsidRPr="00BA0F2F">
        <w:t xml:space="preserve">Les frais de personnel sont pris en charge sur la base d’une méthode simplifiée de calcul basée sur un coût horaire calculé comme suit : </w:t>
      </w:r>
    </w:p>
    <w:p w14:paraId="3E7C327F" w14:textId="77777777" w:rsidR="00BA0F2F" w:rsidRPr="00BA0F2F" w:rsidRDefault="00BA0F2F" w:rsidP="00BA0F2F">
      <w:r w:rsidRPr="00BA0F2F">
        <w:rPr>
          <w:b/>
          <w:bCs/>
        </w:rPr>
        <w:t xml:space="preserve">Coût horaire = 1,2/100 X salaire brut mensuel </w:t>
      </w:r>
      <w:r w:rsidRPr="00BA0F2F">
        <w:t xml:space="preserve">(tel que mentionné sur la fiche de paie) </w:t>
      </w:r>
    </w:p>
    <w:p w14:paraId="3DAA0622" w14:textId="77777777" w:rsidR="00BA0F2F" w:rsidRPr="00BA0F2F" w:rsidRDefault="00BA0F2F" w:rsidP="00BA0F2F">
      <w:r w:rsidRPr="00BA0F2F">
        <w:t xml:space="preserve">Exemples : </w:t>
      </w:r>
    </w:p>
    <w:p w14:paraId="3EBA1194" w14:textId="77777777" w:rsidR="00BA0F2F" w:rsidRPr="00BA0F2F" w:rsidRDefault="00BA0F2F" w:rsidP="00BA0F2F">
      <w:r w:rsidRPr="00BA0F2F">
        <w:t xml:space="preserve">Salaire brut mensuel de 3.000€ = 1,2/100*3.000 = 36 euros/heure </w:t>
      </w:r>
    </w:p>
    <w:p w14:paraId="034142B2" w14:textId="77777777" w:rsidR="00BA0F2F" w:rsidRPr="00BA0F2F" w:rsidRDefault="00BA0F2F" w:rsidP="00BA0F2F">
      <w:r w:rsidRPr="00BA0F2F">
        <w:t xml:space="preserve">Salaire brut mensuel de 3.500€ = 1,2/100*3.500 = 42 euros/heure </w:t>
      </w:r>
    </w:p>
    <w:p w14:paraId="79A857AA" w14:textId="77777777" w:rsidR="00BA0F2F" w:rsidRPr="00BA0F2F" w:rsidRDefault="00BA0F2F" w:rsidP="00BA0F2F">
      <w:r w:rsidRPr="00BA0F2F">
        <w:t xml:space="preserve">Ce coût recouvre tout ce qui a trait au travailleur, en ce compris notamment les frais de secrétariat social. </w:t>
      </w:r>
    </w:p>
    <w:p w14:paraId="4A380D05" w14:textId="77777777" w:rsidR="00BA0F2F" w:rsidRPr="00BA0F2F" w:rsidRDefault="00BA0F2F" w:rsidP="00BA0F2F">
      <w:r w:rsidRPr="00BA0F2F">
        <w:t xml:space="preserve">Le salaire brut mensuel à utiliser est celui du mois de janvier de l’année civile pendant laquelle des activités sont prestées. D’autres coûts salariaux en surplus du strict salaire brut ne peuvent pas être pris en comptes car ceux-ci sont déjà couverts par le facteur multiplicateur 1,2. Pour des salariés qui ne seraient pas encore en fonction au mois de janvier, la fiche de paie de référence utilisée sera celle du premier mois d’emploi complet. </w:t>
      </w:r>
    </w:p>
    <w:p w14:paraId="635857C0" w14:textId="77777777" w:rsidR="00BA0F2F" w:rsidRPr="00BA0F2F" w:rsidRDefault="00BA0F2F" w:rsidP="00BA0F2F">
      <w:r w:rsidRPr="00BA0F2F">
        <w:t>Dans le cadre de l’utilisation des coûts horaires simplifiés, l’enregistrement du temps de travail (time-</w:t>
      </w:r>
      <w:proofErr w:type="spellStart"/>
      <w:r w:rsidRPr="00BA0F2F">
        <w:t>sheet</w:t>
      </w:r>
      <w:proofErr w:type="spellEnd"/>
      <w:r w:rsidRPr="00BA0F2F">
        <w:t xml:space="preserve">) est obligatoire, mais sous forme simplifiée. Seules les heures prestées sur un projet (heures projet) doivent être enregistrées et détaillées. Les heures prestées en dehors du projet (heures hors projet telles que les vacances, congés de maladie, formations, activités d’équipe, …) ne sont pas enregistrées car elles sont déjà intégrées dans le facteur multiplicateur 1,2%. </w:t>
      </w:r>
    </w:p>
    <w:p w14:paraId="4F2B3FE9" w14:textId="77777777" w:rsidR="00BA0F2F" w:rsidRPr="00BA0F2F" w:rsidRDefault="00BA0F2F" w:rsidP="00BA0F2F">
      <w:r w:rsidRPr="00BA0F2F">
        <w:t>L’enregistrement du temps de travail est organisé par mois, précise le nombre d’heures travaillées par l’employé sur le mois et identifie les heures réellement prestées sur le projet. Un modèle de time-</w:t>
      </w:r>
      <w:proofErr w:type="spellStart"/>
      <w:r w:rsidRPr="00BA0F2F">
        <w:t>sheet</w:t>
      </w:r>
      <w:proofErr w:type="spellEnd"/>
      <w:r w:rsidRPr="00BA0F2F">
        <w:t xml:space="preserve"> est disponible sur le site web du programme. </w:t>
      </w:r>
    </w:p>
    <w:p w14:paraId="493F9B58" w14:textId="77777777" w:rsidR="00BA0F2F" w:rsidRPr="00BA0F2F" w:rsidRDefault="00BA0F2F" w:rsidP="00BA0F2F">
      <w:r w:rsidRPr="00BA0F2F">
        <w:t xml:space="preserve">Les dépenses à déclarer dans les déclarations de créances sont calculées à partir de la formule suivante : </w:t>
      </w:r>
    </w:p>
    <w:p w14:paraId="0E9EC296" w14:textId="07FD741C" w:rsidR="00CC6D91" w:rsidRPr="00CC6D91" w:rsidRDefault="00BA0F2F" w:rsidP="00BA0F2F">
      <w:pPr>
        <w:rPr>
          <w:b/>
          <w:bCs/>
        </w:rPr>
      </w:pPr>
      <w:r w:rsidRPr="00BA0F2F">
        <w:rPr>
          <w:b/>
          <w:bCs/>
        </w:rPr>
        <w:t xml:space="preserve">Nombre d’heures prestées sur le projet x coût horaire </w:t>
      </w:r>
    </w:p>
    <w:p w14:paraId="706A96F1" w14:textId="77777777" w:rsidR="00BA0F2F" w:rsidRPr="00BA0F2F" w:rsidRDefault="00BA0F2F" w:rsidP="00BA0F2F">
      <w:r w:rsidRPr="00BA0F2F">
        <w:rPr>
          <w:b/>
          <w:bCs/>
        </w:rPr>
        <w:t xml:space="preserve">Règles détaillées : </w:t>
      </w:r>
    </w:p>
    <w:p w14:paraId="442DA02D" w14:textId="77777777" w:rsidR="00BA0F2F" w:rsidRPr="00BA0F2F" w:rsidRDefault="00BA0F2F" w:rsidP="00BA0F2F">
      <w:r w:rsidRPr="00BA0F2F">
        <w:t xml:space="preserve">Emploi à temps partiel : des personnes travaillant sous un régime de temps partiel doivent utiliser l’équivalent du salaire brut mensuel à temps plein pour le calcul de leur tarif horaire </w:t>
      </w:r>
    </w:p>
    <w:p w14:paraId="2566A54F" w14:textId="77777777" w:rsidR="00BA0F2F" w:rsidRPr="00BA0F2F" w:rsidRDefault="00BA0F2F" w:rsidP="00BA0F2F">
      <w:r w:rsidRPr="00BA0F2F">
        <w:lastRenderedPageBreak/>
        <w:t>Prestations d’un même employé sur plusieurs projets (FEDER) : dans ce cas-ci un seul enregistrement de temps doit être utilisé indiquant et détaillant les heures réalisées par projet. La time-</w:t>
      </w:r>
      <w:proofErr w:type="spellStart"/>
      <w:r w:rsidRPr="00BA0F2F">
        <w:t>sheet</w:t>
      </w:r>
      <w:proofErr w:type="spellEnd"/>
      <w:r w:rsidRPr="00BA0F2F">
        <w:t xml:space="preserve"> doit être communiquée comme pièce justificative dans chacun des projets concernés, et le coût total à imputer doit être réparti entre les différents projets conformément au nombre d’heures prestées respectivement sur chacun d’entre eux. </w:t>
      </w:r>
    </w:p>
    <w:p w14:paraId="21856185" w14:textId="21423CA2" w:rsidR="00BA0F2F" w:rsidRPr="00BA0F2F" w:rsidRDefault="00BA0F2F" w:rsidP="00BA0F2F">
      <w:r w:rsidRPr="00BA0F2F">
        <w:t>Actualisation du tarif horaire : Toute modification du coût salarial de la personne qui engendre une modification du coût horaire (indexation, augmentation de salaire, modification du statut du salarié, …) doit être notifiée au contrôleur et validée par celui-</w:t>
      </w:r>
      <w:r w:rsidR="00CC6D91">
        <w:t>ci</w:t>
      </w:r>
      <w:r w:rsidRPr="00BA0F2F">
        <w:t xml:space="preserve"> avec les documents requis pour permettre le calcul relatif à l’adaptation du coût du salarié, avant son application par l’opérateur. Cette démarche se fait à l’initiative de l’opérateur. </w:t>
      </w:r>
    </w:p>
    <w:p w14:paraId="14FADCC6" w14:textId="77777777" w:rsidR="00BA0F2F" w:rsidRPr="00BA0F2F" w:rsidRDefault="00BA0F2F" w:rsidP="00BA0F2F">
      <w:r w:rsidRPr="00BA0F2F">
        <w:t xml:space="preserve">Limite maximale pour les tarifs horaires : le principe de base est que le salaire brut mensuel d’un salarié est en rapport avec ses qualifications. Le tarif horaire maximal est dès lors limité à 100 euro/heure. </w:t>
      </w:r>
    </w:p>
    <w:p w14:paraId="76F446E8" w14:textId="77777777" w:rsidR="00BA0F2F" w:rsidRPr="00BA0F2F" w:rsidRDefault="00BA0F2F" w:rsidP="00BA0F2F">
      <w:r w:rsidRPr="00BA0F2F">
        <w:t xml:space="preserve">Nombre maximal d’heures pouvant être introduites : le nombre maximal des « heures projet » subsidiables pour un temps plein est plafonné à 1720h par an. </w:t>
      </w:r>
    </w:p>
    <w:p w14:paraId="14512E37" w14:textId="77777777" w:rsidR="00BA0F2F" w:rsidRPr="00BA0F2F" w:rsidRDefault="00BA0F2F" w:rsidP="00BA0F2F">
      <w:r w:rsidRPr="00BA0F2F">
        <w:t xml:space="preserve">Heures de projet exceptionnelles prestées en dehors des jours de travail habituels (week-ends) : peuvent être rapportées selon la même logique que pour les autres heures de projet. </w:t>
      </w:r>
    </w:p>
    <w:p w14:paraId="0966B83E" w14:textId="77777777" w:rsidR="00BA0F2F" w:rsidRPr="00BA0F2F" w:rsidRDefault="00BA0F2F" w:rsidP="00BA0F2F">
      <w:r w:rsidRPr="00BA0F2F">
        <w:t>Objet social dédié au projet : Les organisations dont l’objet social est dédié totalement au projet ne sont pas tenues de fournir des time-</w:t>
      </w:r>
      <w:proofErr w:type="spellStart"/>
      <w:r w:rsidRPr="00BA0F2F">
        <w:t>sheets</w:t>
      </w:r>
      <w:proofErr w:type="spellEnd"/>
      <w:r w:rsidRPr="00BA0F2F">
        <w:t xml:space="preserve">. </w:t>
      </w:r>
    </w:p>
    <w:p w14:paraId="44B6E835" w14:textId="77777777" w:rsidR="00BA0F2F" w:rsidRPr="00BA0F2F" w:rsidRDefault="00BA0F2F" w:rsidP="00BA0F2F">
      <w:r w:rsidRPr="00BA0F2F">
        <w:rPr>
          <w:b/>
          <w:bCs/>
        </w:rPr>
        <w:t xml:space="preserve">Attention : </w:t>
      </w:r>
      <w:r w:rsidRPr="00BA0F2F">
        <w:t xml:space="preserve">les subventions à l’emploi telles que les points APE sont à déduire du coût présenté par l’opérateur pour le travailleur concerné. </w:t>
      </w:r>
    </w:p>
    <w:p w14:paraId="37F7103F" w14:textId="77777777" w:rsidR="00BA0F2F" w:rsidRPr="00BA0F2F" w:rsidRDefault="00BA0F2F" w:rsidP="00BA0F2F">
      <w:r w:rsidRPr="00BA0F2F">
        <w:t xml:space="preserve">Exemple : salaire brut mensuel de 2.000€ dont 500€ de subside APE ; </w:t>
      </w:r>
    </w:p>
    <w:p w14:paraId="1C37164F" w14:textId="63555231" w:rsidR="00BA0F2F" w:rsidRPr="00BA0F2F" w:rsidRDefault="00BA0F2F" w:rsidP="00BA0F2F">
      <w:r w:rsidRPr="00BA0F2F">
        <w:t xml:space="preserve">(2.000 x 1,2 / 100 * nombre d’heures prestées) – subsides APE au </w:t>
      </w:r>
      <w:r w:rsidR="00CC6D91" w:rsidRPr="00BA0F2F">
        <w:t>prorata</w:t>
      </w:r>
      <w:r w:rsidRPr="00BA0F2F">
        <w:t xml:space="preserve"> du temps travaillé sur le projet </w:t>
      </w:r>
    </w:p>
    <w:p w14:paraId="085F8AE0" w14:textId="77777777" w:rsidR="00BA0F2F" w:rsidRPr="00BA0F2F" w:rsidRDefault="00BA0F2F" w:rsidP="00BA0F2F">
      <w:r w:rsidRPr="00BA0F2F">
        <w:rPr>
          <w:b/>
          <w:bCs/>
        </w:rPr>
        <w:t xml:space="preserve">JUSTIFICATIFS </w:t>
      </w:r>
    </w:p>
    <w:p w14:paraId="545F735D" w14:textId="1A5CB359" w:rsidR="00BA0F2F" w:rsidRPr="00BA0F2F" w:rsidRDefault="00BA0F2F" w:rsidP="00BA0F2F">
      <w:r w:rsidRPr="00BA0F2F">
        <w:t xml:space="preserve">- Contrat de travail ou tout autre document à valeur probante identique (1x au lancement du projet) </w:t>
      </w:r>
    </w:p>
    <w:p w14:paraId="6CD99544" w14:textId="77777777" w:rsidR="00BA0F2F" w:rsidRPr="00BA0F2F" w:rsidRDefault="00BA0F2F" w:rsidP="00BA0F2F">
      <w:r w:rsidRPr="00BA0F2F">
        <w:t xml:space="preserve">- Enregistrement du temps signé par le travailleur et par son supérieur hiérarchique tel que décrit ci-dessus ; un modèle est mis à disposition sur le site web du programme ; les opérateurs du projet peuvent utiliser des systèmes d’enregistrement du temps propres ou existants pour autant qu’ils contiennent ou reprennent </w:t>
      </w:r>
      <w:proofErr w:type="gramStart"/>
      <w:r w:rsidRPr="00BA0F2F">
        <w:t>a</w:t>
      </w:r>
      <w:proofErr w:type="gramEnd"/>
      <w:r w:rsidRPr="00BA0F2F">
        <w:t xml:space="preserve"> minima tous les éléments du modèle ; </w:t>
      </w:r>
    </w:p>
    <w:p w14:paraId="3A7E187F" w14:textId="0242773A" w:rsidR="00CC6D91" w:rsidRDefault="00BA0F2F" w:rsidP="00BA0F2F">
      <w:r w:rsidRPr="00BA0F2F">
        <w:t xml:space="preserve">- La fiche de paie pour le mois de janvier de l’année calendrier au cours de laquelle le travailleur fournit des prestations pour le projet. En ce qui concerne les travailleurs qui ne sont pas encore en service en janvier, on utilise la fiche de paie du premier mois complet d'occupation. </w:t>
      </w:r>
    </w:p>
    <w:p w14:paraId="4AE49F3F" w14:textId="77777777" w:rsidR="00CC6D91" w:rsidRPr="00BA0F2F" w:rsidRDefault="00CC6D91" w:rsidP="00BA0F2F"/>
    <w:p w14:paraId="6FC57B5E" w14:textId="77777777" w:rsidR="00716F9E" w:rsidRPr="00190B8B" w:rsidRDefault="00716F9E" w:rsidP="00716F9E">
      <w:r w:rsidRPr="00190B8B">
        <w:rPr>
          <w:b/>
          <w:bCs/>
        </w:rPr>
        <w:t>Pour tous les opérateurs, les règles d’éligibilité des dépenses restent telles qu’indiquées dans les précédentes versions du Guide de l’opérateur.</w:t>
      </w:r>
    </w:p>
    <w:p w14:paraId="061ACA13" w14:textId="77777777" w:rsidR="00716F9E" w:rsidRPr="00190B8B" w:rsidRDefault="00716F9E" w:rsidP="00716F9E">
      <w:r w:rsidRPr="00190B8B">
        <w:t>Pour rappel,</w:t>
      </w:r>
    </w:p>
    <w:p w14:paraId="4CC6F75E" w14:textId="77777777" w:rsidR="00716F9E" w:rsidRPr="00190B8B" w:rsidRDefault="00716F9E" w:rsidP="00716F9E">
      <w:r w:rsidRPr="00190B8B">
        <w:rPr>
          <w:b/>
          <w:bCs/>
        </w:rPr>
        <w:t>Les dépenses éligibles sont :</w:t>
      </w:r>
    </w:p>
    <w:p w14:paraId="080CC165" w14:textId="77777777" w:rsidR="00716F9E" w:rsidRPr="00190B8B" w:rsidRDefault="00716F9E" w:rsidP="00716F9E">
      <w:r w:rsidRPr="00190B8B">
        <w:t xml:space="preserve"> les rémunérations (salaire brut) </w:t>
      </w:r>
    </w:p>
    <w:p w14:paraId="6C63F6E9" w14:textId="77777777" w:rsidR="00716F9E" w:rsidRPr="00190B8B" w:rsidRDefault="00716F9E" w:rsidP="00716F9E">
      <w:r w:rsidRPr="00190B8B">
        <w:lastRenderedPageBreak/>
        <w:t xml:space="preserve"> les charges sociales (patronales) </w:t>
      </w:r>
    </w:p>
    <w:p w14:paraId="520443D3" w14:textId="77777777" w:rsidR="00716F9E" w:rsidRPr="00190B8B" w:rsidRDefault="00716F9E" w:rsidP="00716F9E">
      <w:r w:rsidRPr="00190B8B">
        <w:t xml:space="preserve"> les assurances légales et réglementaires </w:t>
      </w:r>
    </w:p>
    <w:p w14:paraId="08AAE72C" w14:textId="77777777" w:rsidR="00716F9E" w:rsidRPr="00190B8B" w:rsidRDefault="00716F9E" w:rsidP="00716F9E">
      <w:r w:rsidRPr="00190B8B">
        <w:t xml:space="preserve"> les chèques repas </w:t>
      </w:r>
    </w:p>
    <w:p w14:paraId="230E3241" w14:textId="797A9D3C" w:rsidR="00716F9E" w:rsidRDefault="00716F9E" w:rsidP="00716F9E">
      <w:r w:rsidRPr="00190B8B">
        <w:t xml:space="preserve"> Les primes, indemnités et allocations dues en vertu des dispositions légales et réglementaires et de conventions collectives de travail (primes syndicales exclues), y compris les avantages habituellement octroyés au personnel par le bénéficiaire </w:t>
      </w:r>
    </w:p>
    <w:p w14:paraId="6FEEF0D1" w14:textId="77777777" w:rsidR="00CC6D91" w:rsidRPr="00190B8B" w:rsidRDefault="00CC6D91" w:rsidP="00716F9E"/>
    <w:p w14:paraId="72AAB922" w14:textId="77777777" w:rsidR="00716F9E" w:rsidRPr="00190B8B" w:rsidRDefault="00716F9E" w:rsidP="00716F9E">
      <w:r w:rsidRPr="00190B8B">
        <w:rPr>
          <w:b/>
          <w:bCs/>
        </w:rPr>
        <w:t>Les dépenses suivantes sont inéligibles :</w:t>
      </w:r>
    </w:p>
    <w:p w14:paraId="1A8D3F2C" w14:textId="77777777" w:rsidR="00716F9E" w:rsidRPr="00190B8B" w:rsidRDefault="00716F9E" w:rsidP="00716F9E">
      <w:r w:rsidRPr="00190B8B">
        <w:t xml:space="preserve"> les frais de préavis non prestés </w:t>
      </w:r>
    </w:p>
    <w:p w14:paraId="37BD2B2A" w14:textId="77777777" w:rsidR="00716F9E" w:rsidRPr="00190B8B" w:rsidRDefault="00716F9E" w:rsidP="00716F9E">
      <w:r w:rsidRPr="00190B8B">
        <w:t xml:space="preserve"> les bonus (intéressement) </w:t>
      </w:r>
    </w:p>
    <w:p w14:paraId="489AF255" w14:textId="3C998307" w:rsidR="00716F9E" w:rsidRPr="00190B8B" w:rsidRDefault="00716F9E" w:rsidP="00716F9E">
      <w:r w:rsidRPr="00190B8B">
        <w:t xml:space="preserve"> la taxe sur les salaires </w:t>
      </w:r>
    </w:p>
    <w:p w14:paraId="7B4F8B0E" w14:textId="77777777" w:rsidR="00716F9E" w:rsidRPr="00190B8B" w:rsidRDefault="00716F9E" w:rsidP="00716F9E">
      <w:r w:rsidRPr="00190B8B">
        <w:t xml:space="preserve">Attention : pour les porteurs de projet concernés par le CITS (Crédit d’Impôt sur la Taxe sur les Salaires), ce dernier ne doit pas être déduit des dépenses, considérant que la taxe elle-même ne sera pas déclarée4. </w:t>
      </w:r>
    </w:p>
    <w:p w14:paraId="6C858A40" w14:textId="197E09B5" w:rsidR="00716F9E" w:rsidRPr="00190B8B" w:rsidRDefault="00716F9E" w:rsidP="00716F9E">
      <w:r w:rsidRPr="00CC6D91">
        <w:rPr>
          <w:i/>
          <w:iCs/>
          <w:sz w:val="20"/>
          <w:szCs w:val="20"/>
        </w:rPr>
        <w:t xml:space="preserve"> Pour davantage de précisions sur l’éligibilité des frais de personnel, nous vous conseillons de vous référer à la note du 01/01/2019 élaborée par le versant français et disponible sur le site Internet du programme. </w:t>
      </w:r>
    </w:p>
    <w:p w14:paraId="5A15BB2D" w14:textId="5EE3EC4D" w:rsidR="00716F9E" w:rsidRPr="00190B8B" w:rsidRDefault="00716F9E" w:rsidP="00716F9E">
      <w:r w:rsidRPr="00190B8B">
        <w:rPr>
          <w:b/>
          <w:bCs/>
        </w:rPr>
        <w:t xml:space="preserve">Sont à </w:t>
      </w:r>
      <w:r w:rsidR="00CC6D91" w:rsidRPr="00190B8B">
        <w:rPr>
          <w:b/>
          <w:bCs/>
        </w:rPr>
        <w:t>déduire :</w:t>
      </w:r>
    </w:p>
    <w:p w14:paraId="0EBA85FE" w14:textId="77777777" w:rsidR="00716F9E" w:rsidRPr="00190B8B" w:rsidRDefault="00716F9E" w:rsidP="00716F9E">
      <w:r w:rsidRPr="00190B8B">
        <w:t xml:space="preserve"> toute aide ou subvention à l’emploi, charge fiscale ou crédit d’impôts qui bénéficie directement et définitivement à l’opérateur (exemple : CICE - Crédit d’Impôt pour la Compétitivité et l’Emploi)5. </w:t>
      </w:r>
    </w:p>
    <w:p w14:paraId="24B3102E" w14:textId="77777777" w:rsidR="00716F9E" w:rsidRDefault="00716F9E" w:rsidP="00716F9E"/>
    <w:p w14:paraId="19D290CF" w14:textId="77777777" w:rsidR="00CC6D91" w:rsidRPr="00FB2585" w:rsidRDefault="00CC6D91" w:rsidP="00CC6D91">
      <w:pPr>
        <w:rPr>
          <w:b/>
          <w:bCs/>
          <w:sz w:val="28"/>
          <w:szCs w:val="28"/>
        </w:rPr>
      </w:pPr>
      <w:r>
        <w:rPr>
          <w:b/>
          <w:bCs/>
          <w:sz w:val="28"/>
          <w:szCs w:val="28"/>
        </w:rPr>
        <w:t>6</w:t>
      </w:r>
      <w:r w:rsidRPr="00FB2585">
        <w:rPr>
          <w:b/>
          <w:bCs/>
          <w:sz w:val="28"/>
          <w:szCs w:val="28"/>
        </w:rPr>
        <w:t xml:space="preserve">. Les frais administratifs et les frais de bureau </w:t>
      </w:r>
    </w:p>
    <w:p w14:paraId="3E0A0813" w14:textId="77777777" w:rsidR="00CC6D91" w:rsidRPr="00FB2585" w:rsidRDefault="00CC6D91" w:rsidP="00CC6D91">
      <w:pPr>
        <w:rPr>
          <w:b/>
          <w:bCs/>
          <w:sz w:val="24"/>
          <w:szCs w:val="24"/>
        </w:rPr>
      </w:pPr>
      <w:r w:rsidRPr="00FB2585">
        <w:rPr>
          <w:b/>
          <w:bCs/>
          <w:sz w:val="24"/>
          <w:szCs w:val="24"/>
        </w:rPr>
        <w:t xml:space="preserve">6.1. Principes généraux </w:t>
      </w:r>
    </w:p>
    <w:p w14:paraId="21E4A78E" w14:textId="77777777" w:rsidR="00CC6D91" w:rsidRDefault="00CC6D91" w:rsidP="00CC6D91">
      <w:r>
        <w:t xml:space="preserve">Les frais administratifs et frais de bureau ou frais de structure sont les coûts supportés par un opérateur pour la mise en œuvre du projet, mais qui ne peuvent être imputés dans leur totalité aux activités du projet. </w:t>
      </w:r>
    </w:p>
    <w:p w14:paraId="5BFCC694" w14:textId="77777777" w:rsidR="00CC6D91" w:rsidRDefault="00CC6D91" w:rsidP="00CC6D91">
      <w:r w:rsidRPr="00FB2585">
        <w:rPr>
          <w:b/>
          <w:bCs/>
        </w:rPr>
        <w:t>Nouveauté du programme pour la période 2014-2020</w:t>
      </w:r>
      <w:r w:rsidRPr="00FB2585">
        <w:t xml:space="preserve"> : </w:t>
      </w:r>
      <w:r>
        <w:t xml:space="preserve">dans un souci de simplification de la validation des dépenses, </w:t>
      </w:r>
      <w:r w:rsidRPr="00FB2585">
        <w:t xml:space="preserve">ces frais sont calculés de manière forfaitaire à 12,5% </w:t>
      </w:r>
      <w:r>
        <w:t xml:space="preserve">des dépenses de personnel validées par le contrôleur de premier niveau. </w:t>
      </w:r>
    </w:p>
    <w:p w14:paraId="0B5B0D5C" w14:textId="77777777" w:rsidR="00CC6D91" w:rsidRDefault="00CC6D91" w:rsidP="00CC6D91"/>
    <w:p w14:paraId="3F1C43FC" w14:textId="77777777" w:rsidR="00CC6D91" w:rsidRDefault="00CC6D91" w:rsidP="00CC6D91">
      <w:r w:rsidRPr="00FB2585">
        <w:t xml:space="preserve">La liste des frais administratifs et de bureau est exhaustive mais </w:t>
      </w:r>
      <w:r w:rsidRPr="00FB2585">
        <w:rPr>
          <w:b/>
          <w:bCs/>
        </w:rPr>
        <w:t>ces frais n’ont plus à être justifiés</w:t>
      </w:r>
      <w:r w:rsidRPr="00FB2585">
        <w:t xml:space="preserve"> </w:t>
      </w:r>
      <w:r>
        <w:t xml:space="preserve">auprès des contrôleurs de premier niveau. </w:t>
      </w:r>
    </w:p>
    <w:p w14:paraId="3A68F1EA" w14:textId="77777777" w:rsidR="00CC6D91" w:rsidRDefault="00CC6D91" w:rsidP="00CC6D91">
      <w:pPr>
        <w:pStyle w:val="Default"/>
        <w:rPr>
          <w:sz w:val="22"/>
          <w:szCs w:val="22"/>
        </w:rPr>
      </w:pPr>
    </w:p>
    <w:p w14:paraId="67156FE7" w14:textId="77777777" w:rsidR="00CC6D91" w:rsidRPr="00FB2585" w:rsidRDefault="00CC6D91" w:rsidP="00CC6D91">
      <w:pPr>
        <w:rPr>
          <w:b/>
          <w:bCs/>
          <w:sz w:val="24"/>
          <w:szCs w:val="24"/>
        </w:rPr>
      </w:pPr>
      <w:r>
        <w:rPr>
          <w:b/>
          <w:bCs/>
          <w:sz w:val="24"/>
          <w:szCs w:val="24"/>
        </w:rPr>
        <w:t>6</w:t>
      </w:r>
      <w:r w:rsidRPr="00FB2585">
        <w:rPr>
          <w:b/>
          <w:bCs/>
          <w:sz w:val="24"/>
          <w:szCs w:val="24"/>
        </w:rPr>
        <w:t>.</w:t>
      </w:r>
      <w:r>
        <w:rPr>
          <w:b/>
          <w:bCs/>
          <w:sz w:val="24"/>
          <w:szCs w:val="24"/>
        </w:rPr>
        <w:t xml:space="preserve">2. </w:t>
      </w:r>
      <w:r w:rsidRPr="00FB2585">
        <w:rPr>
          <w:b/>
          <w:bCs/>
          <w:sz w:val="24"/>
          <w:szCs w:val="24"/>
        </w:rPr>
        <w:t xml:space="preserve">Liste exhaustive des frais administratifs et de bureau </w:t>
      </w:r>
    </w:p>
    <w:p w14:paraId="3C72DF37" w14:textId="77777777" w:rsidR="00CC6D91" w:rsidRDefault="00CC6D91" w:rsidP="00CC6D91">
      <w:r>
        <w:t xml:space="preserve">La liste exhaustive présentée dans le cadre règlementaire prend en compte les coûts suivants, supportés par un opérateur pour : </w:t>
      </w:r>
    </w:p>
    <w:p w14:paraId="1DEA02D8"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lastRenderedPageBreak/>
        <w:t xml:space="preserve">- la location de bureaux ; </w:t>
      </w:r>
    </w:p>
    <w:p w14:paraId="357BE559" w14:textId="77777777" w:rsidR="00CC6D91" w:rsidRPr="00FB2585" w:rsidRDefault="00CC6D91" w:rsidP="00CC6D91">
      <w:pPr>
        <w:pStyle w:val="Default"/>
        <w:spacing w:after="247"/>
        <w:rPr>
          <w:rFonts w:asciiTheme="minorHAnsi" w:hAnsiTheme="minorHAnsi"/>
          <w:sz w:val="22"/>
          <w:szCs w:val="22"/>
        </w:rPr>
      </w:pPr>
      <w:r w:rsidRPr="00FB2585">
        <w:rPr>
          <w:rFonts w:asciiTheme="minorHAnsi" w:hAnsiTheme="minorHAnsi" w:cs="Garamond"/>
          <w:sz w:val="22"/>
          <w:szCs w:val="22"/>
        </w:rPr>
        <w:t xml:space="preserve">- </w:t>
      </w:r>
      <w:r w:rsidRPr="00FB2585">
        <w:rPr>
          <w:rFonts w:asciiTheme="minorHAnsi" w:hAnsiTheme="minorHAnsi"/>
          <w:sz w:val="22"/>
          <w:szCs w:val="22"/>
        </w:rPr>
        <w:t xml:space="preserve">l'assurance et les impôts liés aux bâtiments où le personnel est installé et aux équipements de bureau (par exemple, assurance contre l'incendie, le vol) ; </w:t>
      </w:r>
    </w:p>
    <w:p w14:paraId="6D1A48BE"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t xml:space="preserve">- les services d'utilité publique (par exemple, l'électricité, le chauffage, l'eau) ; </w:t>
      </w:r>
    </w:p>
    <w:p w14:paraId="246590D2"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t xml:space="preserve">- les fournitures de bureau ; </w:t>
      </w:r>
    </w:p>
    <w:p w14:paraId="67717C10"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t xml:space="preserve">- la comptabilité générale au sein de l'organisation bénéficiaire ; </w:t>
      </w:r>
    </w:p>
    <w:p w14:paraId="07B15F5D"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t xml:space="preserve">- les archives ; </w:t>
      </w:r>
    </w:p>
    <w:p w14:paraId="3AA41554"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t xml:space="preserve">- l'entretien, le nettoyage et les réparations ; </w:t>
      </w:r>
    </w:p>
    <w:p w14:paraId="43D3073D" w14:textId="77777777" w:rsidR="00CC6D91" w:rsidRPr="00FB2585" w:rsidRDefault="00CC6D91" w:rsidP="00CC6D91">
      <w:pPr>
        <w:pStyle w:val="Default"/>
        <w:spacing w:after="247"/>
        <w:rPr>
          <w:rFonts w:asciiTheme="minorHAnsi" w:hAnsiTheme="minorHAnsi" w:cs="Garamond"/>
          <w:sz w:val="22"/>
          <w:szCs w:val="22"/>
        </w:rPr>
      </w:pPr>
      <w:r w:rsidRPr="00FB2585">
        <w:rPr>
          <w:rFonts w:asciiTheme="minorHAnsi" w:hAnsiTheme="minorHAnsi" w:cs="Garamond"/>
          <w:sz w:val="22"/>
          <w:szCs w:val="22"/>
        </w:rPr>
        <w:t xml:space="preserve">- la sécurité ; </w:t>
      </w:r>
    </w:p>
    <w:p w14:paraId="11C99331" w14:textId="77777777" w:rsidR="00CC6D91" w:rsidRPr="00FB2585" w:rsidRDefault="00CC6D91" w:rsidP="00CC6D91">
      <w:pPr>
        <w:pStyle w:val="Default"/>
        <w:spacing w:after="247"/>
        <w:rPr>
          <w:rFonts w:asciiTheme="minorHAnsi" w:hAnsiTheme="minorHAnsi"/>
          <w:sz w:val="22"/>
          <w:szCs w:val="22"/>
        </w:rPr>
      </w:pPr>
      <w:r w:rsidRPr="00FB2585">
        <w:rPr>
          <w:rFonts w:asciiTheme="minorHAnsi" w:hAnsiTheme="minorHAnsi" w:cs="Garamond"/>
          <w:sz w:val="22"/>
          <w:szCs w:val="22"/>
        </w:rPr>
        <w:t xml:space="preserve">- </w:t>
      </w:r>
      <w:r w:rsidRPr="00FB2585">
        <w:rPr>
          <w:rFonts w:asciiTheme="minorHAnsi" w:hAnsiTheme="minorHAnsi"/>
          <w:sz w:val="22"/>
          <w:szCs w:val="22"/>
        </w:rPr>
        <w:t xml:space="preserve">les systèmes informatiques de la structure (les équipements informatiques et logiciels dédiés spécifiquement au projet sont présentés comme frais de services externes ou d’équipement) ; </w:t>
      </w:r>
    </w:p>
    <w:p w14:paraId="7D208515" w14:textId="77777777" w:rsidR="00CC6D91" w:rsidRPr="00FB2585" w:rsidRDefault="00CC6D91" w:rsidP="00CC6D91">
      <w:pPr>
        <w:pStyle w:val="Default"/>
        <w:spacing w:after="247"/>
        <w:rPr>
          <w:rFonts w:asciiTheme="minorHAnsi" w:hAnsiTheme="minorHAnsi"/>
          <w:sz w:val="22"/>
          <w:szCs w:val="22"/>
        </w:rPr>
      </w:pPr>
      <w:r w:rsidRPr="00FB2585">
        <w:rPr>
          <w:rFonts w:asciiTheme="minorHAnsi" w:hAnsiTheme="minorHAnsi" w:cs="Garamond"/>
          <w:sz w:val="22"/>
          <w:szCs w:val="22"/>
        </w:rPr>
        <w:t xml:space="preserve">- </w:t>
      </w:r>
      <w:r w:rsidRPr="00FB2585">
        <w:rPr>
          <w:rFonts w:asciiTheme="minorHAnsi" w:hAnsiTheme="minorHAnsi"/>
          <w:sz w:val="22"/>
          <w:szCs w:val="22"/>
        </w:rPr>
        <w:t xml:space="preserve">la communication (par exemple, téléphone, télécopie, internet, services postaux, cartes de visite) ; </w:t>
      </w:r>
    </w:p>
    <w:p w14:paraId="639E5F01" w14:textId="77777777" w:rsidR="00CC6D91" w:rsidRPr="00FB2585" w:rsidRDefault="00CC6D91" w:rsidP="00CC6D91">
      <w:pPr>
        <w:pStyle w:val="Default"/>
        <w:spacing w:after="247"/>
        <w:rPr>
          <w:rFonts w:asciiTheme="minorHAnsi" w:hAnsiTheme="minorHAnsi"/>
          <w:sz w:val="22"/>
          <w:szCs w:val="22"/>
        </w:rPr>
      </w:pPr>
      <w:r w:rsidRPr="00FB2585">
        <w:rPr>
          <w:rFonts w:asciiTheme="minorHAnsi" w:hAnsiTheme="minorHAnsi" w:cs="Garamond"/>
          <w:sz w:val="22"/>
          <w:szCs w:val="22"/>
        </w:rPr>
        <w:t xml:space="preserve">- </w:t>
      </w:r>
      <w:r w:rsidRPr="00FB2585">
        <w:rPr>
          <w:rFonts w:asciiTheme="minorHAnsi" w:hAnsiTheme="minorHAnsi"/>
          <w:sz w:val="22"/>
          <w:szCs w:val="22"/>
        </w:rPr>
        <w:t xml:space="preserve">les frais bancaires d'ouverture et de gestion du ou des comptes lorsque la mise en œuvre d'une opération nécessite l'ouverture d'un compte bancaire séparé ; </w:t>
      </w:r>
    </w:p>
    <w:p w14:paraId="4DAF8440" w14:textId="77777777" w:rsidR="00CC6D91" w:rsidRPr="00FB2585" w:rsidRDefault="00CC6D91" w:rsidP="00CC6D91">
      <w:pPr>
        <w:pStyle w:val="Default"/>
        <w:rPr>
          <w:rFonts w:asciiTheme="minorHAnsi" w:hAnsiTheme="minorHAnsi" w:cs="Garamond"/>
          <w:sz w:val="22"/>
          <w:szCs w:val="22"/>
        </w:rPr>
      </w:pPr>
      <w:r w:rsidRPr="00FB2585">
        <w:rPr>
          <w:rFonts w:asciiTheme="minorHAnsi" w:hAnsiTheme="minorHAnsi" w:cs="Garamond"/>
          <w:sz w:val="22"/>
          <w:szCs w:val="22"/>
        </w:rPr>
        <w:t xml:space="preserve">- les frais liés aux transactions financières transnationales. </w:t>
      </w:r>
    </w:p>
    <w:p w14:paraId="617171C0" w14:textId="77777777" w:rsidR="00CC6D91" w:rsidRDefault="00CC6D91" w:rsidP="00CC6D91">
      <w:pPr>
        <w:rPr>
          <w:b/>
          <w:bCs/>
        </w:rPr>
      </w:pPr>
    </w:p>
    <w:p w14:paraId="5825BF2C" w14:textId="77777777" w:rsidR="00CC6D91" w:rsidRPr="00FB2585" w:rsidRDefault="00CC6D91" w:rsidP="00CC6D91">
      <w:pPr>
        <w:rPr>
          <w:b/>
          <w:bCs/>
          <w:sz w:val="28"/>
          <w:szCs w:val="28"/>
        </w:rPr>
      </w:pPr>
      <w:r>
        <w:rPr>
          <w:b/>
          <w:bCs/>
          <w:sz w:val="28"/>
          <w:szCs w:val="28"/>
        </w:rPr>
        <w:t>7</w:t>
      </w:r>
      <w:r w:rsidRPr="00FB2585">
        <w:rPr>
          <w:b/>
          <w:bCs/>
          <w:sz w:val="28"/>
          <w:szCs w:val="28"/>
        </w:rPr>
        <w:t>. Les frais de déplacements</w:t>
      </w:r>
    </w:p>
    <w:p w14:paraId="3B23CE75" w14:textId="77777777" w:rsidR="00CC6D91" w:rsidRPr="00BA7592" w:rsidRDefault="00CC6D91" w:rsidP="00CC6D91">
      <w:pPr>
        <w:rPr>
          <w:b/>
          <w:bCs/>
          <w:sz w:val="24"/>
          <w:szCs w:val="24"/>
        </w:rPr>
      </w:pPr>
      <w:r w:rsidRPr="00BA7592">
        <w:rPr>
          <w:b/>
          <w:bCs/>
          <w:sz w:val="24"/>
          <w:szCs w:val="24"/>
        </w:rPr>
        <w:t xml:space="preserve">7.1. Les frais de déplacement et d'hébergement </w:t>
      </w:r>
    </w:p>
    <w:p w14:paraId="67B41F51" w14:textId="77777777" w:rsidR="00CC6D91" w:rsidRPr="00BA7592" w:rsidRDefault="00CC6D91" w:rsidP="00CC6D91">
      <w:pPr>
        <w:ind w:firstLine="708"/>
        <w:rPr>
          <w:b/>
          <w:bCs/>
          <w:sz w:val="24"/>
          <w:szCs w:val="24"/>
        </w:rPr>
      </w:pPr>
      <w:r w:rsidRPr="00BA7592">
        <w:rPr>
          <w:b/>
          <w:bCs/>
          <w:sz w:val="24"/>
          <w:szCs w:val="24"/>
        </w:rPr>
        <w:t xml:space="preserve">Principes généraux </w:t>
      </w:r>
    </w:p>
    <w:p w14:paraId="042244D7" w14:textId="77777777" w:rsidR="00CC6D91" w:rsidRDefault="00CC6D91" w:rsidP="00CC6D91">
      <w:r>
        <w:t xml:space="preserve">Les frais de déplacement et d’hébergement ou frais de mission doivent être en lien direct avec le projet et essentiels pour la bonne mise en œuvre des activités des différents modules de travail. Par exemple la participation à des réunions, des séminaires, des conférences ou encore des visites de sites où le projet est mis en œuvre et les réunions avec les instances du programme, ... </w:t>
      </w:r>
    </w:p>
    <w:p w14:paraId="31B79A7D" w14:textId="77777777" w:rsidR="00CC6D91" w:rsidRDefault="00CC6D91" w:rsidP="00CC6D91">
      <w:r>
        <w:t xml:space="preserve">Ils ne peuvent être introduits que pour des personnes affectées au projet conformément à la liste validée en Comité d’accompagnement. </w:t>
      </w:r>
    </w:p>
    <w:p w14:paraId="6BAE7198" w14:textId="77777777" w:rsidR="00CC6D91" w:rsidRDefault="00CC6D91" w:rsidP="00CC6D91">
      <w:r>
        <w:t xml:space="preserve">Il convient de sélectionner les modes de transport et lieux d’hébergement de manière responsable et efficace, par souci de bonne gestion de l’argent public. </w:t>
      </w:r>
    </w:p>
    <w:p w14:paraId="1E48B94D" w14:textId="77777777" w:rsidR="00CC6D91" w:rsidRDefault="00CC6D91" w:rsidP="00CC6D91">
      <w:r>
        <w:t xml:space="preserve">Les indemnités journalières (« per diem ») sont inéligibles. </w:t>
      </w:r>
    </w:p>
    <w:p w14:paraId="66F973CC" w14:textId="77777777" w:rsidR="00CC6D91" w:rsidRDefault="00CC6D91" w:rsidP="00CC6D91">
      <w:r>
        <w:t xml:space="preserve">Les frais de déplacement et d’hébergement des opérateurs associés sont éligibles à condition qu’ils soient en fin de compte payés par un des opérateurs du projet. Il en va de même pour les bénévoles travaillant dans une structure opératrice et affectés au projet ou les apprenants visés par les projets incluant des activités de formation/emploi (dans ces cas, des listes nominatives doivent être soumises et validées en Comité d’accompagnement). </w:t>
      </w:r>
    </w:p>
    <w:p w14:paraId="0ADC3520" w14:textId="77777777" w:rsidR="00CC6D91" w:rsidRDefault="00CC6D91" w:rsidP="00CC6D91">
      <w:r>
        <w:lastRenderedPageBreak/>
        <w:t xml:space="preserve">Les frais de déplacement et d’hébergement des personnes externes à la structure et contribuant à la mise en œuvre des activités (intervenants lors d’événements, présidents de séance, professeurs, …) doivent être présentés sous le poste « frais liés au recours à des compétences et à des services externes ». Il en va de même pour les frais pris en charge par les opérateurs pour les bénéficiaires du projet (personnes participant par exemple à une formation ou les bénévoles). </w:t>
      </w:r>
    </w:p>
    <w:p w14:paraId="3CEEC233" w14:textId="77777777" w:rsidR="00CC6D91" w:rsidRDefault="00CC6D91" w:rsidP="00CC6D91">
      <w:r>
        <w:t xml:space="preserve">Tous les coûts liés à des missions en dehors de l’UE et en dehors de la zone du programme (sauf zone constituée de l’ensemble de la Belgique ainsi que des deux régions françaises du programme, et de la Région Île-de-France.) ne sont éligibles que si ceux-ci sont prévus dans la fiche projet et/ou ont fait l’objet d’un accord préalable formel du Comité d’accompagnement. Dans les deux cas, une plus-value pour le projet et pour la zone France-Wallonie-Vlaanderen doit être démontrée. </w:t>
      </w:r>
    </w:p>
    <w:p w14:paraId="2E9CF37F" w14:textId="77777777" w:rsidR="00CC6D91" w:rsidRPr="00BA7592" w:rsidRDefault="00CC6D91" w:rsidP="00CC6D91">
      <w:pPr>
        <w:ind w:firstLine="708"/>
        <w:rPr>
          <w:b/>
          <w:bCs/>
          <w:sz w:val="24"/>
          <w:szCs w:val="24"/>
        </w:rPr>
      </w:pPr>
      <w:r w:rsidRPr="00BA7592">
        <w:rPr>
          <w:b/>
          <w:bCs/>
          <w:sz w:val="24"/>
          <w:szCs w:val="24"/>
        </w:rPr>
        <w:t xml:space="preserve">Règles spécifiques : les frais de déplacement </w:t>
      </w:r>
    </w:p>
    <w:p w14:paraId="5636283A" w14:textId="77777777" w:rsidR="00CC6D91" w:rsidRPr="00BA7592" w:rsidRDefault="00CC6D91" w:rsidP="00CC6D91">
      <w:r>
        <w:t xml:space="preserve">Les frais de déplacement sont les frais encourus pour se rendre sur le lieu de l’événement lié au projet (réunion, séminaire, évènement, …). Ils sont justifiés sur la base des frais réels et il convient donc de conserver les tickets de transport ainsi que les demandes de remboursement des frais kilométriques. </w:t>
      </w:r>
      <w:r w:rsidRPr="00BA7592">
        <w:t xml:space="preserve">110 Chapitre 5 – Les dépenses éligibles </w:t>
      </w:r>
    </w:p>
    <w:p w14:paraId="76B211C8" w14:textId="77777777" w:rsidR="00CC6D91" w:rsidRPr="00BA7592" w:rsidRDefault="00CC6D91" w:rsidP="00CC6D91">
      <w:bookmarkStart w:id="0" w:name="_Hlk14683861"/>
      <w:r w:rsidRPr="00BA7592">
        <w:rPr>
          <w:b/>
          <w:bCs/>
        </w:rPr>
        <w:t>Pour les déplacements en voiture</w:t>
      </w:r>
      <w:r w:rsidRPr="00BA7592">
        <w:t xml:space="preserve">, ils comprennent une indemnité kilométrique calculée sur base du nombre de kilomètres parcourus multipliés par le barème en vigueur sur le versant et les frais des péages et parkings éventuels. Dans ce cadre, c’est la distance depuis le point de départ de la personne (domicile ou lieu de travail), effectuant le trajet et demandant le remboursement, et le lieu de mission qui est pris en compte. Si la réunion a lieu sur le lieu de travail habituel ou sur le lieu d’habitation, aucun remboursement ne pourra être pris en compte. </w:t>
      </w:r>
    </w:p>
    <w:p w14:paraId="28612842" w14:textId="77777777" w:rsidR="00CC6D91" w:rsidRPr="00BA7592" w:rsidRDefault="00CC6D91" w:rsidP="00CC6D91">
      <w:pPr>
        <w:pStyle w:val="Default"/>
        <w:pBdr>
          <w:top w:val="single" w:sz="4" w:space="1" w:color="auto"/>
          <w:left w:val="single" w:sz="4" w:space="4" w:color="auto"/>
          <w:bottom w:val="single" w:sz="4" w:space="1" w:color="auto"/>
          <w:right w:val="single" w:sz="4" w:space="4" w:color="auto"/>
        </w:pBdr>
        <w:jc w:val="center"/>
        <w:rPr>
          <w:sz w:val="20"/>
          <w:szCs w:val="20"/>
        </w:rPr>
      </w:pPr>
      <w:r w:rsidRPr="00BA7592">
        <w:rPr>
          <w:b/>
          <w:bCs/>
          <w:sz w:val="20"/>
          <w:szCs w:val="20"/>
        </w:rPr>
        <w:t>Les barèmes suivants sont d’application :</w:t>
      </w:r>
    </w:p>
    <w:p w14:paraId="1702CEFC" w14:textId="77777777" w:rsidR="00CC6D91" w:rsidRPr="00BA7592" w:rsidRDefault="00CC6D91" w:rsidP="00CC6D91">
      <w:pPr>
        <w:pStyle w:val="Default"/>
        <w:pBdr>
          <w:top w:val="single" w:sz="4" w:space="1" w:color="auto"/>
          <w:left w:val="single" w:sz="4" w:space="4" w:color="auto"/>
          <w:bottom w:val="single" w:sz="4" w:space="1" w:color="auto"/>
          <w:right w:val="single" w:sz="4" w:space="4" w:color="auto"/>
        </w:pBdr>
        <w:jc w:val="center"/>
        <w:rPr>
          <w:sz w:val="20"/>
          <w:szCs w:val="20"/>
        </w:rPr>
      </w:pPr>
      <w:r w:rsidRPr="00BA7592">
        <w:rPr>
          <w:sz w:val="20"/>
          <w:szCs w:val="20"/>
        </w:rPr>
        <w:t>- Wallonie : barème régional de la fonction publique</w:t>
      </w:r>
    </w:p>
    <w:p w14:paraId="4EC6F751" w14:textId="77777777" w:rsidR="00CC6D91" w:rsidRDefault="00CC6D91" w:rsidP="00CC6D91">
      <w:pPr>
        <w:pStyle w:val="Default"/>
        <w:rPr>
          <w:b/>
          <w:bCs/>
        </w:rPr>
      </w:pPr>
    </w:p>
    <w:p w14:paraId="420AC60D" w14:textId="77777777" w:rsidR="00CC6D91" w:rsidRPr="00BA7592" w:rsidRDefault="00CC6D91" w:rsidP="00CC6D91">
      <w:r w:rsidRPr="00BA7592">
        <w:rPr>
          <w:b/>
          <w:bCs/>
        </w:rPr>
        <w:t xml:space="preserve">Pour les déplacements en train : </w:t>
      </w:r>
      <w:r w:rsidRPr="00BA7592">
        <w:t xml:space="preserve">les dépenses sont éligibles sur base du prix d’un billet en 2ème classe. </w:t>
      </w:r>
    </w:p>
    <w:p w14:paraId="325CC295" w14:textId="77777777" w:rsidR="00CC6D91" w:rsidRPr="00BA7592" w:rsidRDefault="00CC6D91" w:rsidP="00CC6D91">
      <w:r w:rsidRPr="00BA7592">
        <w:rPr>
          <w:b/>
          <w:bCs/>
        </w:rPr>
        <w:t xml:space="preserve">Pour les déplacements en avion : </w:t>
      </w:r>
      <w:r w:rsidRPr="00BA7592">
        <w:t xml:space="preserve">les dépenses sont éligibles sur base du prix d’un billet en classe économique. </w:t>
      </w:r>
    </w:p>
    <w:p w14:paraId="35D750A8" w14:textId="68ED340A" w:rsidR="00CC6D91" w:rsidRPr="00CC6D91" w:rsidRDefault="00CC6D91" w:rsidP="00CC6D91">
      <w:r w:rsidRPr="00BA7592">
        <w:t xml:space="preserve">Les transports collectifs tels que le covoiturage ou la location d’une voiture sont éligibles à condition que ce moyen soit moins cher que l’utilisation de transports en commun. </w:t>
      </w:r>
    </w:p>
    <w:p w14:paraId="203E06EA" w14:textId="77777777" w:rsidR="00CC6D91" w:rsidRDefault="00CC6D91" w:rsidP="00CC6D91">
      <w:pPr>
        <w:pStyle w:val="Default"/>
        <w:rPr>
          <w:b/>
          <w:bCs/>
        </w:rPr>
      </w:pPr>
    </w:p>
    <w:p w14:paraId="069BF63C" w14:textId="77777777" w:rsidR="00CC6D91" w:rsidRPr="00BA7592" w:rsidRDefault="00CC6D91" w:rsidP="00CC6D91">
      <w:pPr>
        <w:rPr>
          <w:b/>
          <w:bCs/>
        </w:rPr>
      </w:pPr>
      <w:r w:rsidRPr="00BA7592">
        <w:rPr>
          <w:b/>
          <w:bCs/>
        </w:rPr>
        <w:t xml:space="preserve">PIECES JUSTIFICATIVES </w:t>
      </w:r>
    </w:p>
    <w:p w14:paraId="28420A41" w14:textId="77777777" w:rsidR="00CC6D91" w:rsidRPr="00BA7592" w:rsidRDefault="00CC6D91" w:rsidP="00CC6D91">
      <w:r w:rsidRPr="00BA7592">
        <w:t xml:space="preserve">Les frais de déplacement doivent être correctement documentés par les pièces suivantes pour le contrôleur de premier niveau : </w:t>
      </w:r>
    </w:p>
    <w:p w14:paraId="08902AC5" w14:textId="77777777" w:rsidR="00CC6D91" w:rsidRPr="00BA7592" w:rsidRDefault="00CC6D91" w:rsidP="00CC6D91">
      <w:r w:rsidRPr="00BA7592">
        <w:t xml:space="preserve">- Type de réunion ou programme de l’événement ; </w:t>
      </w:r>
    </w:p>
    <w:p w14:paraId="1DC5822A" w14:textId="77777777" w:rsidR="00CC6D91" w:rsidRPr="00BA7592" w:rsidRDefault="00CC6D91" w:rsidP="00CC6D91">
      <w:r w:rsidRPr="00BA7592">
        <w:t xml:space="preserve">- Tickets de transport ; </w:t>
      </w:r>
    </w:p>
    <w:p w14:paraId="3D1F3A62" w14:textId="77777777" w:rsidR="00CC6D91" w:rsidRPr="00BA7592" w:rsidRDefault="00CC6D91" w:rsidP="00CC6D91">
      <w:r w:rsidRPr="00BA7592">
        <w:t xml:space="preserve">- Factures payées ; </w:t>
      </w:r>
    </w:p>
    <w:p w14:paraId="720F931F" w14:textId="77777777" w:rsidR="00CC6D91" w:rsidRPr="00BA7592" w:rsidRDefault="00CC6D91" w:rsidP="00CC6D91">
      <w:r w:rsidRPr="00BA7592">
        <w:t xml:space="preserve">- Note de frais détaillant les trajets parcourus ; </w:t>
      </w:r>
    </w:p>
    <w:p w14:paraId="2F131D77" w14:textId="3D37F6AA" w:rsidR="00CC6D91" w:rsidRDefault="00CC6D91" w:rsidP="008552DF">
      <w:r w:rsidRPr="00BA7592">
        <w:t xml:space="preserve">- Preuves du paiement. </w:t>
      </w:r>
    </w:p>
    <w:p w14:paraId="37B3E68F" w14:textId="77777777" w:rsidR="00CC6D91" w:rsidRPr="00BA7592" w:rsidRDefault="00CC6D91" w:rsidP="00CC6D91">
      <w:pPr>
        <w:pStyle w:val="Default"/>
      </w:pPr>
    </w:p>
    <w:p w14:paraId="3DFAA62C" w14:textId="77777777" w:rsidR="00CC6D91" w:rsidRPr="00BA7592" w:rsidRDefault="00CC6D91" w:rsidP="00CC6D91">
      <w:pPr>
        <w:ind w:firstLine="708"/>
        <w:rPr>
          <w:b/>
          <w:bCs/>
          <w:sz w:val="24"/>
          <w:szCs w:val="24"/>
        </w:rPr>
      </w:pPr>
      <w:r w:rsidRPr="00BA7592">
        <w:rPr>
          <w:b/>
          <w:bCs/>
          <w:sz w:val="24"/>
          <w:szCs w:val="24"/>
        </w:rPr>
        <w:t xml:space="preserve">Règles spécifiques : les frais d’hébergement </w:t>
      </w:r>
    </w:p>
    <w:p w14:paraId="53C5B4E2" w14:textId="77777777" w:rsidR="00CC6D91" w:rsidRPr="00BA7592"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color w:val="auto"/>
          <w:sz w:val="22"/>
          <w:szCs w:val="22"/>
        </w:rPr>
        <w:t xml:space="preserve">Les frais d’hébergement se justifient uniquement lorsque l’évènement l’exige, c’est-à-dire s’il se déroule sur plusieurs jours, si le déplacement aller-retour est plus coûteux que le logement ou si les horaires le justifient. </w:t>
      </w:r>
    </w:p>
    <w:p w14:paraId="62B92634" w14:textId="77777777" w:rsidR="00CC6D91"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color w:val="auto"/>
          <w:sz w:val="22"/>
          <w:szCs w:val="22"/>
        </w:rPr>
        <w:t xml:space="preserve">Pour ces missions de plus d’une journée avec au moins une nuit d’hôtel, les frais sont remboursés sur la base du coût du repas du soir et le remboursement de la nuit d’hôtel (petit déjeuner inclus). Le montant total est plafonné à 200€ par nuit sur la base des justificatifs présentés. </w:t>
      </w:r>
    </w:p>
    <w:p w14:paraId="73FB8C81" w14:textId="77777777" w:rsidR="00CC6D91" w:rsidRPr="00BA7592" w:rsidRDefault="00CC6D91" w:rsidP="00CC6D91">
      <w:pPr>
        <w:pStyle w:val="Default"/>
        <w:rPr>
          <w:rFonts w:asciiTheme="minorHAnsi" w:hAnsiTheme="minorHAnsi" w:cstheme="minorBidi"/>
          <w:color w:val="auto"/>
          <w:sz w:val="22"/>
          <w:szCs w:val="22"/>
        </w:rPr>
      </w:pPr>
    </w:p>
    <w:p w14:paraId="144A151F" w14:textId="77777777" w:rsidR="00CC6D91" w:rsidRPr="00BA7592" w:rsidRDefault="00CC6D91" w:rsidP="00CC6D91">
      <w:pPr>
        <w:pStyle w:val="Default"/>
        <w:rPr>
          <w:rFonts w:asciiTheme="minorHAnsi" w:hAnsiTheme="minorHAnsi" w:cstheme="minorBidi"/>
          <w:b/>
          <w:bCs/>
          <w:color w:val="FF0000"/>
          <w:sz w:val="22"/>
          <w:szCs w:val="22"/>
        </w:rPr>
      </w:pPr>
      <w:r w:rsidRPr="00BA7592">
        <w:rPr>
          <w:rFonts w:asciiTheme="minorHAnsi" w:hAnsiTheme="minorHAnsi" w:cstheme="minorBidi"/>
          <w:b/>
          <w:bCs/>
          <w:color w:val="FF0000"/>
          <w:sz w:val="22"/>
          <w:szCs w:val="22"/>
        </w:rPr>
        <w:t xml:space="preserve">Pour les missions d’une journée sans nuit d’hôtel, seuls les frais de déplacement sont éligibles. Il n’y a donc pas de remboursement de repas. </w:t>
      </w:r>
    </w:p>
    <w:p w14:paraId="7918FB3C" w14:textId="77777777" w:rsidR="00CC6D91" w:rsidRPr="00BA7592" w:rsidRDefault="00CC6D91" w:rsidP="00CC6D91">
      <w:pPr>
        <w:pStyle w:val="Default"/>
      </w:pPr>
    </w:p>
    <w:p w14:paraId="2C78DE94" w14:textId="77777777" w:rsidR="008552DF" w:rsidRDefault="008552DF" w:rsidP="00CC6D91">
      <w:pPr>
        <w:rPr>
          <w:b/>
          <w:bCs/>
        </w:rPr>
      </w:pPr>
    </w:p>
    <w:p w14:paraId="6EB772E3" w14:textId="77777777" w:rsidR="008552DF" w:rsidRDefault="008552DF" w:rsidP="00CC6D91">
      <w:pPr>
        <w:rPr>
          <w:b/>
          <w:bCs/>
        </w:rPr>
      </w:pPr>
    </w:p>
    <w:p w14:paraId="4E6B16BF" w14:textId="33FF9302" w:rsidR="00CC6D91" w:rsidRPr="00BA7592" w:rsidRDefault="00CC6D91" w:rsidP="00CC6D91">
      <w:pPr>
        <w:rPr>
          <w:b/>
          <w:bCs/>
        </w:rPr>
      </w:pPr>
      <w:r w:rsidRPr="00BA7592">
        <w:rPr>
          <w:b/>
          <w:bCs/>
        </w:rPr>
        <w:t xml:space="preserve">PIECES JUSTIFICATIVES </w:t>
      </w:r>
    </w:p>
    <w:p w14:paraId="7D54713A" w14:textId="77777777" w:rsidR="00CC6D91" w:rsidRPr="00BA7592"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color w:val="auto"/>
          <w:sz w:val="22"/>
          <w:szCs w:val="22"/>
        </w:rPr>
        <w:t xml:space="preserve">Les frais d’hébergement doivent être correctement documentés par les pièces suivantes pour le contrôleur de premier niveau : </w:t>
      </w:r>
    </w:p>
    <w:p w14:paraId="2B88C817" w14:textId="77777777" w:rsidR="00CC6D91" w:rsidRPr="00BA7592"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color w:val="auto"/>
          <w:sz w:val="22"/>
          <w:szCs w:val="22"/>
        </w:rPr>
        <w:t xml:space="preserve">- Agenda de la réunion ou programme de l’événement ; </w:t>
      </w:r>
    </w:p>
    <w:p w14:paraId="3970E44F" w14:textId="77777777" w:rsidR="00CC6D91" w:rsidRPr="00BA7592"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color w:val="auto"/>
          <w:sz w:val="22"/>
          <w:szCs w:val="22"/>
        </w:rPr>
        <w:t xml:space="preserve">- Factures payées ; </w:t>
      </w:r>
    </w:p>
    <w:p w14:paraId="3AF38F41" w14:textId="77777777" w:rsidR="00CC6D91" w:rsidRPr="00BA7592"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color w:val="auto"/>
          <w:sz w:val="22"/>
          <w:szCs w:val="22"/>
        </w:rPr>
        <w:t xml:space="preserve">- Preuves du paiement. </w:t>
      </w:r>
    </w:p>
    <w:p w14:paraId="2CCB8150" w14:textId="77777777" w:rsidR="00CC6D91" w:rsidRPr="00BA7592" w:rsidRDefault="00CC6D91" w:rsidP="00CC6D91">
      <w:pPr>
        <w:pStyle w:val="Default"/>
      </w:pPr>
    </w:p>
    <w:p w14:paraId="162CA598" w14:textId="77777777" w:rsidR="00CC6D91" w:rsidRPr="00BA7592" w:rsidRDefault="00CC6D91" w:rsidP="00CC6D91">
      <w:pPr>
        <w:pStyle w:val="Default"/>
        <w:rPr>
          <w:rFonts w:asciiTheme="minorHAnsi" w:hAnsiTheme="minorHAnsi" w:cstheme="minorBidi"/>
          <w:color w:val="auto"/>
          <w:sz w:val="22"/>
          <w:szCs w:val="22"/>
        </w:rPr>
      </w:pPr>
      <w:r w:rsidRPr="00BA7592">
        <w:rPr>
          <w:rFonts w:asciiTheme="minorHAnsi" w:hAnsiTheme="minorHAnsi" w:cstheme="minorBidi"/>
          <w:b/>
          <w:bCs/>
          <w:color w:val="auto"/>
          <w:sz w:val="22"/>
          <w:szCs w:val="22"/>
        </w:rPr>
        <w:t>Attention</w:t>
      </w:r>
      <w:r w:rsidRPr="00BA7592">
        <w:rPr>
          <w:rFonts w:asciiTheme="minorHAnsi" w:hAnsiTheme="minorHAnsi" w:cstheme="minorBidi"/>
          <w:color w:val="auto"/>
          <w:sz w:val="22"/>
          <w:szCs w:val="22"/>
        </w:rPr>
        <w:t xml:space="preserve"> : Si l’opérateur organise un événement incluant un repas, les frais de catering, de restaurant sont à présenter dans la ligne « services et expertises externes ».</w:t>
      </w:r>
    </w:p>
    <w:p w14:paraId="49D96F4A" w14:textId="77777777" w:rsidR="00CC6D91" w:rsidRPr="00BA7592" w:rsidRDefault="00CC6D91" w:rsidP="00CC6D91">
      <w:pPr>
        <w:pStyle w:val="Default"/>
        <w:rPr>
          <w:rFonts w:asciiTheme="minorHAnsi" w:hAnsiTheme="minorHAnsi" w:cstheme="minorBidi"/>
          <w:color w:val="auto"/>
          <w:sz w:val="22"/>
          <w:szCs w:val="22"/>
        </w:rPr>
      </w:pPr>
    </w:p>
    <w:bookmarkEnd w:id="0"/>
    <w:p w14:paraId="358F5721" w14:textId="77777777" w:rsidR="00CC6D91" w:rsidRDefault="00CC6D91" w:rsidP="00CC6D91">
      <w:pPr>
        <w:pStyle w:val="Default"/>
        <w:rPr>
          <w:rFonts w:cstheme="minorBidi"/>
          <w:color w:val="auto"/>
        </w:rPr>
      </w:pPr>
    </w:p>
    <w:p w14:paraId="570E6062" w14:textId="77777777" w:rsidR="00CC6D91" w:rsidRPr="00FB2585" w:rsidRDefault="00CC6D91" w:rsidP="00CC6D91"/>
    <w:p w14:paraId="04808351" w14:textId="77777777" w:rsidR="00BA0F2F" w:rsidRDefault="00BA0F2F">
      <w:bookmarkStart w:id="1" w:name="_GoBack"/>
      <w:bookmarkEnd w:id="1"/>
    </w:p>
    <w:sectPr w:rsidR="00BA0F2F" w:rsidSect="00A50B31">
      <w:pgSz w:w="11906" w:h="16838" w:code="9"/>
      <w:pgMar w:top="1417" w:right="1417" w:bottom="1417"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2F"/>
    <w:rsid w:val="004F7D3D"/>
    <w:rsid w:val="00553643"/>
    <w:rsid w:val="005E5981"/>
    <w:rsid w:val="00716F9E"/>
    <w:rsid w:val="008334D4"/>
    <w:rsid w:val="008552DF"/>
    <w:rsid w:val="00A50B31"/>
    <w:rsid w:val="00B60519"/>
    <w:rsid w:val="00BA0F2F"/>
    <w:rsid w:val="00CC6D91"/>
    <w:rsid w:val="00CD44F1"/>
    <w:rsid w:val="00D91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86FB"/>
  <w15:chartTrackingRefBased/>
  <w15:docId w15:val="{32D3F64B-0233-4100-B46D-A2ED3BAA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C6D91"/>
    <w:pPr>
      <w:autoSpaceDE w:val="0"/>
      <w:autoSpaceDN w:val="0"/>
      <w:adjustRightInd w:val="0"/>
      <w:spacing w:after="0" w:line="240" w:lineRule="auto"/>
    </w:pPr>
    <w:rPr>
      <w:rFonts w:ascii="Open Sans" w:hAnsi="Open Sans" w:cs="Open Sans"/>
      <w:color w:val="000000"/>
      <w:sz w:val="24"/>
      <w:szCs w:val="24"/>
    </w:rPr>
  </w:style>
  <w:style w:type="paragraph" w:styleId="Textedebulles">
    <w:name w:val="Balloon Text"/>
    <w:basedOn w:val="Normal"/>
    <w:link w:val="TextedebullesCar"/>
    <w:uiPriority w:val="99"/>
    <w:semiHidden/>
    <w:unhideWhenUsed/>
    <w:rsid w:val="00A50B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0B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3445</TotalTime>
  <Pages>1</Pages>
  <Words>2411</Words>
  <Characters>13261</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dc:creator>
  <cp:keywords/>
  <dc:description/>
  <cp:lastModifiedBy>Jean Luc</cp:lastModifiedBy>
  <cp:revision>13</cp:revision>
  <cp:lastPrinted>2019-08-18T10:01:00Z</cp:lastPrinted>
  <dcterms:created xsi:type="dcterms:W3CDTF">2019-07-16T09:56:00Z</dcterms:created>
  <dcterms:modified xsi:type="dcterms:W3CDTF">2019-08-19T16:25:00Z</dcterms:modified>
</cp:coreProperties>
</file>